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342A93" w:rsidRDefault="00AF4182" w:rsidP="000132E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Building Global Strategic Alliances </w:t>
      </w:r>
    </w:p>
    <w:p w:rsidR="00420DCA" w:rsidRPr="009D7CCA" w:rsidRDefault="00AF4182" w:rsidP="000132EE">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Name</w:t>
      </w:r>
    </w:p>
    <w:p w:rsidR="00420DCA" w:rsidRPr="009D7CCA" w:rsidRDefault="00AF4182" w:rsidP="000132EE">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Institution</w:t>
      </w:r>
    </w:p>
    <w:p w:rsidR="00420DCA" w:rsidRPr="009D7CCA" w:rsidRDefault="00AF4182" w:rsidP="000132EE">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Date</w:t>
      </w: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0602EB" w:rsidRPr="000602EB" w:rsidRDefault="000602EB" w:rsidP="000602EB">
      <w:pPr>
        <w:pStyle w:val="Heading1"/>
        <w:shd w:val="clear" w:color="auto" w:fill="FFFFFF"/>
        <w:spacing w:after="0" w:afterAutospacing="0" w:line="480" w:lineRule="auto"/>
        <w:ind w:firstLine="720"/>
        <w:jc w:val="center"/>
        <w:rPr>
          <w:sz w:val="24"/>
          <w:szCs w:val="24"/>
        </w:rPr>
      </w:pPr>
      <w:r w:rsidRPr="000602EB">
        <w:rPr>
          <w:sz w:val="24"/>
          <w:szCs w:val="24"/>
        </w:rPr>
        <w:lastRenderedPageBreak/>
        <w:t>Introduction</w:t>
      </w:r>
    </w:p>
    <w:p w:rsidR="000602EB" w:rsidRPr="000602EB" w:rsidRDefault="000602EB" w:rsidP="000602EB">
      <w:pPr>
        <w:pStyle w:val="Heading1"/>
        <w:shd w:val="clear" w:color="auto" w:fill="FFFFFF"/>
        <w:spacing w:after="0" w:afterAutospacing="0" w:line="480" w:lineRule="auto"/>
        <w:ind w:firstLine="720"/>
        <w:rPr>
          <w:b w:val="0"/>
          <w:sz w:val="24"/>
          <w:szCs w:val="24"/>
        </w:rPr>
      </w:pPr>
      <w:r w:rsidRPr="000602EB">
        <w:rPr>
          <w:b w:val="0"/>
          <w:sz w:val="24"/>
          <w:szCs w:val="24"/>
        </w:rPr>
        <w:t xml:space="preserve"> Economic globalization has been facilitated by the advancements in technology that allows investors to explore in further geographic locations as well as maintain communication with different partners (Jakada, 2014). Strategic alliances simply require creating an agreement that provides ways for partners to cope together and deal with outside competition.</w:t>
      </w:r>
    </w:p>
    <w:p w:rsidR="000602EB" w:rsidRPr="000602EB" w:rsidRDefault="000602EB" w:rsidP="000602EB">
      <w:pPr>
        <w:pStyle w:val="Heading1"/>
        <w:shd w:val="clear" w:color="auto" w:fill="FFFFFF"/>
        <w:spacing w:after="0" w:afterAutospacing="0" w:line="480" w:lineRule="auto"/>
        <w:ind w:firstLine="720"/>
        <w:jc w:val="center"/>
        <w:rPr>
          <w:sz w:val="24"/>
          <w:szCs w:val="24"/>
        </w:rPr>
      </w:pPr>
      <w:r w:rsidRPr="000602EB">
        <w:rPr>
          <w:sz w:val="24"/>
          <w:szCs w:val="24"/>
        </w:rPr>
        <w:t>Steps taken by an exporter to ensure success when forming an alliance.</w:t>
      </w:r>
    </w:p>
    <w:p w:rsidR="000602EB" w:rsidRPr="000602EB" w:rsidRDefault="000602EB" w:rsidP="000602EB">
      <w:pPr>
        <w:pStyle w:val="Heading1"/>
        <w:shd w:val="clear" w:color="auto" w:fill="FFFFFF"/>
        <w:spacing w:after="0" w:afterAutospacing="0" w:line="480" w:lineRule="auto"/>
        <w:ind w:firstLine="720"/>
        <w:rPr>
          <w:b w:val="0"/>
          <w:sz w:val="24"/>
          <w:szCs w:val="24"/>
        </w:rPr>
      </w:pPr>
      <w:r w:rsidRPr="000602EB">
        <w:rPr>
          <w:b w:val="0"/>
          <w:sz w:val="24"/>
          <w:szCs w:val="24"/>
        </w:rPr>
        <w:t>The first step involves forming an alliance is creating a partnership. When selecting a partner, the exporter should analyze their effectiveness in terms of the benefits they bring such as technological advantages. The second step is negotiation. The exporter and the new partner should establish business shares they are willing to join. Exporters are encouraged to adopt the division of labor to avoid disputes in management (Jakada, 2014). Implementation is the third stage which involves execution of the negotiated agreement. The exporter should be able to manage possible risks in this stage to ensure success. The fourth step is performance evaluation. This step occurs after the execution and involves evaluating the accomplishment of set objectives by the firm. The firm should discuss and resolve any issues that may hinder the fulfillment of set objectives.</w:t>
      </w:r>
    </w:p>
    <w:p w:rsidR="000602EB" w:rsidRPr="000602EB" w:rsidRDefault="000602EB" w:rsidP="000602EB">
      <w:pPr>
        <w:pStyle w:val="Heading1"/>
        <w:shd w:val="clear" w:color="auto" w:fill="FFFFFF"/>
        <w:spacing w:after="0" w:afterAutospacing="0" w:line="480" w:lineRule="auto"/>
        <w:ind w:firstLine="720"/>
        <w:jc w:val="center"/>
        <w:rPr>
          <w:sz w:val="24"/>
          <w:szCs w:val="24"/>
        </w:rPr>
      </w:pPr>
      <w:r w:rsidRPr="000602EB">
        <w:rPr>
          <w:sz w:val="24"/>
          <w:szCs w:val="24"/>
        </w:rPr>
        <w:t>Issues that might arise when forming an alliance</w:t>
      </w:r>
    </w:p>
    <w:p w:rsidR="000602EB" w:rsidRPr="000602EB" w:rsidRDefault="000602EB" w:rsidP="000602EB">
      <w:pPr>
        <w:pStyle w:val="Heading1"/>
        <w:shd w:val="clear" w:color="auto" w:fill="FFFFFF"/>
        <w:spacing w:after="0" w:afterAutospacing="0" w:line="480" w:lineRule="auto"/>
        <w:ind w:firstLine="720"/>
        <w:rPr>
          <w:b w:val="0"/>
          <w:sz w:val="24"/>
          <w:szCs w:val="24"/>
        </w:rPr>
      </w:pPr>
      <w:r w:rsidRPr="000602EB">
        <w:rPr>
          <w:b w:val="0"/>
          <w:sz w:val="24"/>
          <w:szCs w:val="24"/>
        </w:rPr>
        <w:t xml:space="preserve">A firm may find it hard to decide on a partner. This arises when there is a huge difference in the availability of resources by each company. Another issue may arise during negotiations. Partners may fail to agree on the number of shares they should join as well as governance of the partnership. During implementation, partners may also find it hard to cope together due to </w:t>
      </w:r>
      <w:r w:rsidRPr="000602EB">
        <w:rPr>
          <w:b w:val="0"/>
          <w:sz w:val="24"/>
          <w:szCs w:val="24"/>
        </w:rPr>
        <w:lastRenderedPageBreak/>
        <w:t>different backgrounds. In addition, it is also possible for a firm to overestimate its contribution when analyzing performance (Jakada, 2014).</w:t>
      </w:r>
    </w:p>
    <w:p w:rsidR="000602EB" w:rsidRPr="000602EB" w:rsidRDefault="000602EB" w:rsidP="000602EB">
      <w:pPr>
        <w:pStyle w:val="Heading1"/>
        <w:shd w:val="clear" w:color="auto" w:fill="FFFFFF"/>
        <w:spacing w:after="0" w:afterAutospacing="0" w:line="480" w:lineRule="auto"/>
        <w:ind w:firstLine="720"/>
        <w:jc w:val="center"/>
        <w:rPr>
          <w:sz w:val="24"/>
          <w:szCs w:val="24"/>
        </w:rPr>
      </w:pPr>
      <w:r w:rsidRPr="000602EB">
        <w:rPr>
          <w:sz w:val="24"/>
          <w:szCs w:val="24"/>
        </w:rPr>
        <w:t>What benefits might a global alliance bring?</w:t>
      </w:r>
    </w:p>
    <w:p w:rsidR="000602EB" w:rsidRPr="000602EB" w:rsidRDefault="000602EB" w:rsidP="000602EB">
      <w:pPr>
        <w:pStyle w:val="Heading1"/>
        <w:shd w:val="clear" w:color="auto" w:fill="FFFFFF"/>
        <w:spacing w:after="0" w:afterAutospacing="0" w:line="480" w:lineRule="auto"/>
        <w:ind w:firstLine="720"/>
        <w:rPr>
          <w:b w:val="0"/>
          <w:sz w:val="24"/>
          <w:szCs w:val="24"/>
        </w:rPr>
      </w:pPr>
      <w:r w:rsidRPr="000602EB">
        <w:rPr>
          <w:b w:val="0"/>
          <w:sz w:val="24"/>
          <w:szCs w:val="24"/>
        </w:rPr>
        <w:t xml:space="preserve"> One of the benefits of a global alliance is that it promotes the linkages between two countries, therefore, facilitating more exports. The theory of mercantilism described by Cavusgil, Knight, &amp; Riesenberger (2017), states that the prosperity of a country is achieved when the exports of the country exceed the imports. This promotes the economic growth of the countries and encourages more investments of opportunities on a global scale. Arnold et al., (2014), focuses on the theory of Enterprise Risk Management which asserts that global alliances provide an opportunity for sharing of information. This allows partners to learn from each other as well as develop trust which leads to better productivity in business. </w:t>
      </w:r>
    </w:p>
    <w:p w:rsidR="000602EB" w:rsidRPr="000602EB" w:rsidRDefault="000602EB" w:rsidP="000602EB">
      <w:pPr>
        <w:pStyle w:val="Heading1"/>
        <w:shd w:val="clear" w:color="auto" w:fill="FFFFFF"/>
        <w:spacing w:after="0" w:afterAutospacing="0" w:line="480" w:lineRule="auto"/>
        <w:ind w:firstLine="720"/>
        <w:jc w:val="center"/>
        <w:rPr>
          <w:sz w:val="24"/>
          <w:szCs w:val="24"/>
        </w:rPr>
      </w:pPr>
      <w:r w:rsidRPr="000602EB">
        <w:rPr>
          <w:sz w:val="24"/>
          <w:szCs w:val="24"/>
        </w:rPr>
        <w:t>Conclusion</w:t>
      </w:r>
    </w:p>
    <w:p w:rsidR="000A7AAF" w:rsidRPr="00342A93" w:rsidRDefault="000602EB" w:rsidP="000602EB">
      <w:pPr>
        <w:pStyle w:val="Heading1"/>
        <w:shd w:val="clear" w:color="auto" w:fill="FFFFFF"/>
        <w:spacing w:before="0" w:beforeAutospacing="0" w:after="0" w:afterAutospacing="0" w:line="480" w:lineRule="auto"/>
        <w:ind w:firstLine="720"/>
        <w:rPr>
          <w:b w:val="0"/>
          <w:sz w:val="24"/>
          <w:szCs w:val="24"/>
        </w:rPr>
      </w:pPr>
      <w:r w:rsidRPr="000602EB">
        <w:rPr>
          <w:b w:val="0"/>
          <w:sz w:val="24"/>
          <w:szCs w:val="24"/>
        </w:rPr>
        <w:t xml:space="preserve">Based on the provided description above, it can be identified that global alliance is the best business approach for firms that seek to expand their investments. However, companies should carefully analyze each step to ensure success when formulating alliances. The government should also provide subsidies to promote these alliances for the general prosperity of the country.  </w:t>
      </w:r>
    </w:p>
    <w:p w:rsidR="000A7AAF" w:rsidRPr="00342A93" w:rsidRDefault="000A7AAF" w:rsidP="00342A93">
      <w:pPr>
        <w:pStyle w:val="Heading1"/>
        <w:shd w:val="clear" w:color="auto" w:fill="FFFFFF"/>
        <w:spacing w:before="0" w:beforeAutospacing="0" w:after="0" w:afterAutospacing="0" w:line="480" w:lineRule="auto"/>
        <w:rPr>
          <w:b w:val="0"/>
          <w:sz w:val="24"/>
          <w:szCs w:val="24"/>
        </w:rPr>
      </w:pPr>
    </w:p>
    <w:p w:rsidR="000A7AAF" w:rsidRDefault="000A7AAF" w:rsidP="000132EE">
      <w:pPr>
        <w:pStyle w:val="Heading1"/>
        <w:shd w:val="clear" w:color="auto" w:fill="FFFFFF"/>
        <w:spacing w:before="0" w:beforeAutospacing="0" w:after="0" w:afterAutospacing="0" w:line="480" w:lineRule="auto"/>
        <w:rPr>
          <w:b w:val="0"/>
          <w:sz w:val="24"/>
          <w:szCs w:val="24"/>
        </w:rPr>
      </w:pPr>
    </w:p>
    <w:p w:rsidR="000A7AAF" w:rsidRDefault="000A7AAF" w:rsidP="000132EE">
      <w:pPr>
        <w:pStyle w:val="Heading1"/>
        <w:shd w:val="clear" w:color="auto" w:fill="FFFFFF"/>
        <w:spacing w:before="0" w:beforeAutospacing="0" w:after="0" w:afterAutospacing="0" w:line="480" w:lineRule="auto"/>
        <w:rPr>
          <w:b w:val="0"/>
          <w:sz w:val="24"/>
          <w:szCs w:val="24"/>
        </w:rPr>
      </w:pPr>
    </w:p>
    <w:p w:rsidR="000A7AAF" w:rsidRDefault="000A7AAF" w:rsidP="000132EE">
      <w:pPr>
        <w:pStyle w:val="Heading1"/>
        <w:shd w:val="clear" w:color="auto" w:fill="FFFFFF"/>
        <w:spacing w:before="0" w:beforeAutospacing="0" w:after="0" w:afterAutospacing="0" w:line="480" w:lineRule="auto"/>
        <w:rPr>
          <w:b w:val="0"/>
          <w:sz w:val="24"/>
          <w:szCs w:val="24"/>
        </w:rPr>
      </w:pPr>
    </w:p>
    <w:p w:rsidR="000A7AAF" w:rsidRDefault="000A7AAF" w:rsidP="000132EE">
      <w:pPr>
        <w:pStyle w:val="Heading1"/>
        <w:shd w:val="clear" w:color="auto" w:fill="FFFFFF"/>
        <w:spacing w:before="0" w:beforeAutospacing="0" w:after="0" w:afterAutospacing="0" w:line="480" w:lineRule="auto"/>
        <w:rPr>
          <w:b w:val="0"/>
          <w:sz w:val="24"/>
          <w:szCs w:val="24"/>
        </w:rPr>
      </w:pPr>
    </w:p>
    <w:p w:rsidR="009D7CCA" w:rsidRPr="00C8334A" w:rsidRDefault="00AF4182" w:rsidP="000132EE">
      <w:pPr>
        <w:pStyle w:val="Heading1"/>
        <w:shd w:val="clear" w:color="auto" w:fill="FFFFFF"/>
        <w:spacing w:before="0" w:beforeAutospacing="0" w:after="0" w:afterAutospacing="0" w:line="480" w:lineRule="auto"/>
        <w:jc w:val="center"/>
        <w:rPr>
          <w:b w:val="0"/>
          <w:sz w:val="24"/>
          <w:szCs w:val="24"/>
        </w:rPr>
      </w:pPr>
      <w:r w:rsidRPr="00C8334A">
        <w:rPr>
          <w:b w:val="0"/>
          <w:sz w:val="24"/>
          <w:szCs w:val="24"/>
        </w:rPr>
        <w:lastRenderedPageBreak/>
        <w:t xml:space="preserve">References </w:t>
      </w:r>
    </w:p>
    <w:p w:rsidR="00342A93" w:rsidRDefault="00AF4182" w:rsidP="00BA259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Arnold, V., Benford, T. S., Hampton, C., &amp; Sutton, S. G. (2014). Enterprise risk management: Re-conceptualizing the role of risk and trust on information sharing in transnational alliances. </w:t>
      </w:r>
      <w:r w:rsidRPr="00342A93">
        <w:rPr>
          <w:rFonts w:ascii="Times New Roman" w:eastAsia="Times New Roman" w:hAnsi="Times New Roman" w:cs="Times New Roman"/>
          <w:i/>
          <w:sz w:val="24"/>
          <w:szCs w:val="24"/>
        </w:rPr>
        <w:t>Journal of Information Systems, 28</w:t>
      </w:r>
      <w:r>
        <w:rPr>
          <w:rFonts w:ascii="Times New Roman" w:eastAsia="Times New Roman" w:hAnsi="Times New Roman" w:cs="Times New Roman"/>
          <w:sz w:val="24"/>
          <w:szCs w:val="24"/>
        </w:rPr>
        <w:t>(2), 257-285.</w:t>
      </w:r>
    </w:p>
    <w:p w:rsidR="00342A93" w:rsidRPr="00123F03" w:rsidRDefault="00AF4182" w:rsidP="000132EE">
      <w:pPr>
        <w:spacing w:after="0" w:line="480" w:lineRule="auto"/>
        <w:ind w:left="720" w:hanging="720"/>
        <w:rPr>
          <w:rFonts w:ascii="Times New Roman" w:eastAsia="Times New Roman" w:hAnsi="Times New Roman" w:cs="Times New Roman"/>
          <w:sz w:val="24"/>
          <w:szCs w:val="24"/>
        </w:rPr>
      </w:pPr>
      <w:r w:rsidRPr="00123F03">
        <w:rPr>
          <w:rFonts w:ascii="Times New Roman" w:eastAsia="Arial Unicode MS" w:hAnsi="Times New Roman" w:cs="Times New Roman"/>
          <w:color w:val="000000"/>
          <w:sz w:val="24"/>
          <w:szCs w:val="24"/>
          <w:shd w:val="clear" w:color="auto" w:fill="FFFFFF"/>
        </w:rPr>
        <w:t>Cavusgil, S. T., Knight, G., &amp; Riesenberger, J. R. (2017). </w:t>
      </w:r>
      <w:r w:rsidRPr="00123F03">
        <w:rPr>
          <w:rFonts w:ascii="Times New Roman" w:eastAsia="Arial Unicode MS" w:hAnsi="Times New Roman" w:cs="Times New Roman"/>
          <w:i/>
          <w:iCs/>
          <w:color w:val="000000"/>
          <w:sz w:val="24"/>
          <w:szCs w:val="24"/>
          <w:shd w:val="clear" w:color="auto" w:fill="FFFFFF"/>
        </w:rPr>
        <w:t>International business: The new realities</w:t>
      </w:r>
      <w:r w:rsidRPr="00123F03">
        <w:rPr>
          <w:rFonts w:ascii="Times New Roman" w:eastAsia="Arial Unicode MS" w:hAnsi="Times New Roman" w:cs="Times New Roman"/>
          <w:color w:val="000000"/>
          <w:sz w:val="24"/>
          <w:szCs w:val="24"/>
          <w:shd w:val="clear" w:color="auto" w:fill="FFFFFF"/>
        </w:rPr>
        <w:t>. Boston: Pearson.</w:t>
      </w:r>
    </w:p>
    <w:p w:rsidR="00342A93" w:rsidRPr="00123F03" w:rsidRDefault="00AF4182" w:rsidP="00123F03">
      <w:pPr>
        <w:pStyle w:val="Heading1"/>
        <w:shd w:val="clear" w:color="auto" w:fill="FFFFFF"/>
        <w:spacing w:before="0" w:beforeAutospacing="0" w:after="0" w:afterAutospacing="0" w:line="480" w:lineRule="auto"/>
        <w:ind w:left="720" w:hanging="720"/>
        <w:rPr>
          <w:b w:val="0"/>
          <w:bCs w:val="0"/>
          <w:sz w:val="24"/>
          <w:szCs w:val="24"/>
        </w:rPr>
      </w:pPr>
      <w:r>
        <w:rPr>
          <w:b w:val="0"/>
          <w:sz w:val="24"/>
          <w:szCs w:val="24"/>
        </w:rPr>
        <w:t xml:space="preserve">Jakada, B.A. (2014). </w:t>
      </w:r>
      <w:r w:rsidRPr="00123F03">
        <w:rPr>
          <w:b w:val="0"/>
          <w:sz w:val="24"/>
          <w:szCs w:val="24"/>
        </w:rPr>
        <w:t>Building global strategic alliances and coalitions for foreign investment opportunities</w:t>
      </w:r>
      <w:r>
        <w:rPr>
          <w:b w:val="0"/>
          <w:sz w:val="24"/>
          <w:szCs w:val="24"/>
        </w:rPr>
        <w:t xml:space="preserve">. </w:t>
      </w:r>
      <w:r w:rsidRPr="00123F03">
        <w:rPr>
          <w:b w:val="0"/>
          <w:i/>
          <w:sz w:val="24"/>
          <w:szCs w:val="24"/>
        </w:rPr>
        <w:t>International Journal of Global Business, 7</w:t>
      </w:r>
      <w:r w:rsidRPr="00123F03">
        <w:rPr>
          <w:b w:val="0"/>
          <w:sz w:val="24"/>
          <w:szCs w:val="24"/>
        </w:rPr>
        <w:t>(1), 77-94</w:t>
      </w:r>
      <w:r>
        <w:rPr>
          <w:b w:val="0"/>
          <w:sz w:val="24"/>
          <w:szCs w:val="24"/>
        </w:rPr>
        <w:t xml:space="preserve">. </w:t>
      </w:r>
    </w:p>
    <w:sectPr w:rsidR="00342A93" w:rsidRPr="00123F03" w:rsidSect="00A311D1">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F62" w:rsidRDefault="00317F62">
      <w:pPr>
        <w:spacing w:after="0" w:line="240" w:lineRule="auto"/>
      </w:pPr>
      <w:r>
        <w:separator/>
      </w:r>
    </w:p>
  </w:endnote>
  <w:endnote w:type="continuationSeparator" w:id="1">
    <w:p w:rsidR="00317F62" w:rsidRDefault="00317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3A" w:rsidRPr="00D5210D" w:rsidRDefault="007A053A">
    <w:pPr>
      <w:pStyle w:val="Footer"/>
      <w:jc w:val="right"/>
      <w:rPr>
        <w:sz w:val="24"/>
        <w:szCs w:val="24"/>
      </w:rPr>
    </w:pPr>
  </w:p>
  <w:p w:rsidR="007A053A" w:rsidRPr="00D5210D" w:rsidRDefault="007A053A">
    <w:pPr>
      <w:pStyle w:val="Foote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0D" w:rsidRDefault="00D5210D">
    <w:pPr>
      <w:pStyle w:val="Footer"/>
      <w:jc w:val="right"/>
    </w:pPr>
  </w:p>
  <w:p w:rsidR="00D5210D" w:rsidRDefault="00D521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F62" w:rsidRDefault="00317F62">
      <w:pPr>
        <w:spacing w:after="0" w:line="240" w:lineRule="auto"/>
      </w:pPr>
      <w:r>
        <w:separator/>
      </w:r>
    </w:p>
  </w:footnote>
  <w:footnote w:type="continuationSeparator" w:id="1">
    <w:p w:rsidR="00317F62" w:rsidRDefault="00317F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CA" w:rsidRPr="009D7CCA" w:rsidRDefault="00AF4182" w:rsidP="00B15DF0">
    <w:pPr>
      <w:rPr>
        <w:rFonts w:ascii="Times New Roman" w:hAnsi="Times New Roman" w:cs="Times New Roman"/>
        <w:sz w:val="24"/>
        <w:szCs w:val="24"/>
      </w:rPr>
    </w:pPr>
    <w:r>
      <w:rPr>
        <w:rFonts w:ascii="Times New Roman" w:eastAsia="Times New Roman" w:hAnsi="Times New Roman" w:cs="Times New Roman"/>
        <w:sz w:val="24"/>
        <w:szCs w:val="24"/>
      </w:rPr>
      <w:t xml:space="preserve">BUILDING GLOBAL STRATEGIC ALLIANCES </w:t>
    </w:r>
    <w:r w:rsidR="005B25FB">
      <w:rPr>
        <w:rFonts w:ascii="Times New Roman" w:hAnsi="Times New Roman" w:cs="Times New Roman"/>
        <w:sz w:val="24"/>
        <w:szCs w:val="24"/>
      </w:rPr>
      <w:tab/>
    </w:r>
    <w:r w:rsidR="005B25FB">
      <w:rPr>
        <w:rFonts w:ascii="Times New Roman" w:hAnsi="Times New Roman" w:cs="Times New Roman"/>
        <w:sz w:val="24"/>
        <w:szCs w:val="24"/>
      </w:rPr>
      <w:tab/>
    </w:r>
    <w:r w:rsidR="005B25FB">
      <w:rPr>
        <w:rFonts w:ascii="Times New Roman" w:hAnsi="Times New Roman" w:cs="Times New Roman"/>
        <w:sz w:val="24"/>
        <w:szCs w:val="24"/>
      </w:rPr>
      <w:tab/>
    </w:r>
    <w:r w:rsidR="005B25FB">
      <w:rPr>
        <w:rFonts w:ascii="Times New Roman" w:hAnsi="Times New Roman" w:cs="Times New Roman"/>
        <w:sz w:val="24"/>
        <w:szCs w:val="24"/>
      </w:rPr>
      <w:tab/>
    </w:r>
    <w:sdt>
      <w:sdtPr>
        <w:rPr>
          <w:rFonts w:ascii="Times New Roman" w:hAnsi="Times New Roman" w:cs="Times New Roman"/>
          <w:sz w:val="24"/>
          <w:szCs w:val="24"/>
        </w:rPr>
        <w:id w:val="1668281114"/>
        <w:docPartObj>
          <w:docPartGallery w:val="Page Numbers (Top of Page)"/>
          <w:docPartUnique/>
        </w:docPartObj>
      </w:sdtPr>
      <w:sdtEndPr>
        <w:rPr>
          <w:noProof/>
        </w:rPr>
      </w:sdtEndPr>
      <w:sdtContent>
        <w:r w:rsidR="005B25FB">
          <w:rPr>
            <w:rFonts w:ascii="Times New Roman" w:hAnsi="Times New Roman" w:cs="Times New Roman"/>
            <w:sz w:val="24"/>
            <w:szCs w:val="24"/>
          </w:rPr>
          <w:tab/>
        </w:r>
        <w:r w:rsidR="005B25FB">
          <w:rPr>
            <w:rFonts w:ascii="Times New Roman" w:hAnsi="Times New Roman" w:cs="Times New Roman"/>
            <w:sz w:val="24"/>
            <w:szCs w:val="24"/>
          </w:rPr>
          <w:tab/>
        </w:r>
        <w:r w:rsidR="002D1B43" w:rsidRPr="009D7CCA">
          <w:rPr>
            <w:rFonts w:ascii="Times New Roman" w:hAnsi="Times New Roman" w:cs="Times New Roman"/>
            <w:sz w:val="24"/>
            <w:szCs w:val="24"/>
          </w:rPr>
          <w:fldChar w:fldCharType="begin"/>
        </w:r>
        <w:r w:rsidR="005B25FB" w:rsidRPr="009D7CCA">
          <w:rPr>
            <w:rFonts w:ascii="Times New Roman" w:hAnsi="Times New Roman" w:cs="Times New Roman"/>
            <w:sz w:val="24"/>
            <w:szCs w:val="24"/>
          </w:rPr>
          <w:instrText xml:space="preserve"> PAGE   \* MERGEFORMAT </w:instrText>
        </w:r>
        <w:r w:rsidR="002D1B43" w:rsidRPr="009D7CCA">
          <w:rPr>
            <w:rFonts w:ascii="Times New Roman" w:hAnsi="Times New Roman" w:cs="Times New Roman"/>
            <w:sz w:val="24"/>
            <w:szCs w:val="24"/>
          </w:rPr>
          <w:fldChar w:fldCharType="separate"/>
        </w:r>
        <w:r w:rsidR="00BF43E9">
          <w:rPr>
            <w:rFonts w:ascii="Times New Roman" w:hAnsi="Times New Roman" w:cs="Times New Roman"/>
            <w:noProof/>
            <w:sz w:val="24"/>
            <w:szCs w:val="24"/>
          </w:rPr>
          <w:t>4</w:t>
        </w:r>
        <w:r w:rsidR="002D1B43" w:rsidRPr="009D7CCA">
          <w:rPr>
            <w:rFonts w:ascii="Times New Roman" w:hAnsi="Times New Roman" w:cs="Times New Roman"/>
            <w:noProof/>
            <w:sz w:val="24"/>
            <w:szCs w:val="24"/>
          </w:rPr>
          <w:fldChar w:fldCharType="end"/>
        </w:r>
      </w:sdtContent>
    </w:sdt>
  </w:p>
  <w:p w:rsidR="00A311D1" w:rsidRPr="002B29DE" w:rsidRDefault="00A311D1">
    <w:pPr>
      <w:pStyle w:val="Header"/>
      <w:rPr>
        <w:rFonts w:cstheme="minorHAnsi"/>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7239090"/>
      <w:docPartObj>
        <w:docPartGallery w:val="Page Numbers (Top of Page)"/>
        <w:docPartUnique/>
      </w:docPartObj>
    </w:sdtPr>
    <w:sdtEndPr>
      <w:rPr>
        <w:noProof/>
      </w:rPr>
    </w:sdtEndPr>
    <w:sdtContent>
      <w:p w:rsidR="009D7CCA" w:rsidRPr="009D7CCA" w:rsidRDefault="00AF4182" w:rsidP="00B15DF0">
        <w:pPr>
          <w:rPr>
            <w:rFonts w:ascii="Times New Roman" w:hAnsi="Times New Roman" w:cs="Times New Roman"/>
            <w:sz w:val="24"/>
            <w:szCs w:val="24"/>
          </w:rPr>
        </w:pPr>
        <w:r>
          <w:rPr>
            <w:rFonts w:ascii="Times New Roman" w:hAnsi="Times New Roman" w:cs="Times New Roman"/>
            <w:sz w:val="24"/>
            <w:szCs w:val="24"/>
          </w:rPr>
          <w:t>Running h</w:t>
        </w:r>
        <w:r w:rsidRPr="009D7CCA">
          <w:rPr>
            <w:rFonts w:ascii="Times New Roman" w:hAnsi="Times New Roman" w:cs="Times New Roman"/>
            <w:sz w:val="24"/>
            <w:szCs w:val="24"/>
          </w:rPr>
          <w:t>ead</w:t>
        </w:r>
        <w:r>
          <w:rPr>
            <w:rFonts w:ascii="Times New Roman" w:hAnsi="Times New Roman" w:cs="Times New Roman"/>
            <w:sz w:val="24"/>
            <w:szCs w:val="24"/>
          </w:rPr>
          <w:t>:</w:t>
        </w:r>
        <w:r w:rsidR="000A7AAF">
          <w:rPr>
            <w:rFonts w:ascii="Times New Roman" w:hAnsi="Times New Roman" w:cs="Times New Roman"/>
            <w:sz w:val="24"/>
            <w:szCs w:val="24"/>
          </w:rPr>
          <w:tab/>
        </w:r>
        <w:r w:rsidR="00342A93">
          <w:rPr>
            <w:rFonts w:ascii="Times New Roman" w:eastAsia="Times New Roman" w:hAnsi="Times New Roman" w:cs="Times New Roman"/>
            <w:sz w:val="24"/>
            <w:szCs w:val="24"/>
          </w:rPr>
          <w:t>BUILDING GLOBAL STRATEGIC ALLIANCES</w:t>
        </w:r>
        <w:r w:rsidR="00342A93">
          <w:rPr>
            <w:rFonts w:ascii="Times New Roman" w:hAnsi="Times New Roman" w:cs="Times New Roman"/>
            <w:sz w:val="24"/>
            <w:szCs w:val="24"/>
          </w:rPr>
          <w:tab/>
        </w:r>
        <w:r w:rsidR="00B15DF0">
          <w:rPr>
            <w:rFonts w:ascii="Times New Roman" w:hAnsi="Times New Roman" w:cs="Times New Roman"/>
            <w:sz w:val="24"/>
            <w:szCs w:val="24"/>
          </w:rPr>
          <w:tab/>
        </w:r>
        <w:r w:rsidR="00B15DF0">
          <w:rPr>
            <w:rFonts w:ascii="Times New Roman" w:hAnsi="Times New Roman" w:cs="Times New Roman"/>
            <w:sz w:val="24"/>
            <w:szCs w:val="24"/>
          </w:rPr>
          <w:tab/>
        </w:r>
        <w:r w:rsidR="00B15DF0">
          <w:rPr>
            <w:rFonts w:ascii="Times New Roman" w:hAnsi="Times New Roman" w:cs="Times New Roman"/>
            <w:sz w:val="24"/>
            <w:szCs w:val="24"/>
          </w:rPr>
          <w:tab/>
        </w:r>
        <w:r w:rsidR="002D1B43" w:rsidRPr="009D7CCA">
          <w:rPr>
            <w:rFonts w:ascii="Times New Roman" w:hAnsi="Times New Roman" w:cs="Times New Roman"/>
            <w:sz w:val="24"/>
            <w:szCs w:val="24"/>
          </w:rPr>
          <w:fldChar w:fldCharType="begin"/>
        </w:r>
        <w:r w:rsidRPr="009D7CCA">
          <w:rPr>
            <w:rFonts w:ascii="Times New Roman" w:hAnsi="Times New Roman" w:cs="Times New Roman"/>
            <w:sz w:val="24"/>
            <w:szCs w:val="24"/>
          </w:rPr>
          <w:instrText xml:space="preserve"> PAGE   \* MERGEFORMAT </w:instrText>
        </w:r>
        <w:r w:rsidR="002D1B43" w:rsidRPr="009D7CCA">
          <w:rPr>
            <w:rFonts w:ascii="Times New Roman" w:hAnsi="Times New Roman" w:cs="Times New Roman"/>
            <w:sz w:val="24"/>
            <w:szCs w:val="24"/>
          </w:rPr>
          <w:fldChar w:fldCharType="separate"/>
        </w:r>
        <w:r w:rsidR="000602EB">
          <w:rPr>
            <w:rFonts w:ascii="Times New Roman" w:hAnsi="Times New Roman" w:cs="Times New Roman"/>
            <w:noProof/>
            <w:sz w:val="24"/>
            <w:szCs w:val="24"/>
          </w:rPr>
          <w:t>1</w:t>
        </w:r>
        <w:r w:rsidR="002D1B43" w:rsidRPr="009D7CCA">
          <w:rPr>
            <w:rFonts w:ascii="Times New Roman" w:hAnsi="Times New Roman" w:cs="Times New Roman"/>
            <w:noProof/>
            <w:sz w:val="24"/>
            <w:szCs w:val="24"/>
          </w:rPr>
          <w:fldChar w:fldCharType="end"/>
        </w:r>
      </w:p>
    </w:sdtContent>
  </w:sdt>
  <w:p w:rsidR="00A311D1" w:rsidRPr="009D7CCA" w:rsidRDefault="00A311D1" w:rsidP="00A311D1">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3DD1"/>
    <w:rsid w:val="000132EE"/>
    <w:rsid w:val="00043BCB"/>
    <w:rsid w:val="000602EB"/>
    <w:rsid w:val="000925B5"/>
    <w:rsid w:val="000A1C42"/>
    <w:rsid w:val="000A7AAF"/>
    <w:rsid w:val="00121746"/>
    <w:rsid w:val="00123F03"/>
    <w:rsid w:val="001426B6"/>
    <w:rsid w:val="00186C0F"/>
    <w:rsid w:val="00190FA3"/>
    <w:rsid w:val="001B57FD"/>
    <w:rsid w:val="001C2441"/>
    <w:rsid w:val="001D5875"/>
    <w:rsid w:val="001E31A8"/>
    <w:rsid w:val="001E42C1"/>
    <w:rsid w:val="00227FE4"/>
    <w:rsid w:val="002331D4"/>
    <w:rsid w:val="002545CD"/>
    <w:rsid w:val="0027045A"/>
    <w:rsid w:val="00293032"/>
    <w:rsid w:val="002B29DE"/>
    <w:rsid w:val="002D1B43"/>
    <w:rsid w:val="002F0155"/>
    <w:rsid w:val="00312C3A"/>
    <w:rsid w:val="00317F62"/>
    <w:rsid w:val="00340168"/>
    <w:rsid w:val="00342A93"/>
    <w:rsid w:val="0035237C"/>
    <w:rsid w:val="00362046"/>
    <w:rsid w:val="00385B2E"/>
    <w:rsid w:val="003A23D5"/>
    <w:rsid w:val="003F7142"/>
    <w:rsid w:val="00400AAD"/>
    <w:rsid w:val="00420DCA"/>
    <w:rsid w:val="004503B7"/>
    <w:rsid w:val="00463B34"/>
    <w:rsid w:val="00467163"/>
    <w:rsid w:val="00484B5F"/>
    <w:rsid w:val="00486727"/>
    <w:rsid w:val="004C4095"/>
    <w:rsid w:val="004C7683"/>
    <w:rsid w:val="005007B0"/>
    <w:rsid w:val="00503EFC"/>
    <w:rsid w:val="005346C0"/>
    <w:rsid w:val="005414EE"/>
    <w:rsid w:val="0055307A"/>
    <w:rsid w:val="00583714"/>
    <w:rsid w:val="005B25FB"/>
    <w:rsid w:val="005B7CFC"/>
    <w:rsid w:val="005D4DD2"/>
    <w:rsid w:val="005D7EF7"/>
    <w:rsid w:val="00601218"/>
    <w:rsid w:val="00610F7A"/>
    <w:rsid w:val="006120C9"/>
    <w:rsid w:val="00627868"/>
    <w:rsid w:val="00651155"/>
    <w:rsid w:val="006A1AC7"/>
    <w:rsid w:val="006B407C"/>
    <w:rsid w:val="006C4DC5"/>
    <w:rsid w:val="006D1FC3"/>
    <w:rsid w:val="006F4644"/>
    <w:rsid w:val="00737729"/>
    <w:rsid w:val="0075439F"/>
    <w:rsid w:val="00782018"/>
    <w:rsid w:val="00786E4B"/>
    <w:rsid w:val="00795062"/>
    <w:rsid w:val="007A053A"/>
    <w:rsid w:val="007B0BDB"/>
    <w:rsid w:val="007B42D3"/>
    <w:rsid w:val="007F0951"/>
    <w:rsid w:val="007F1BDB"/>
    <w:rsid w:val="007F4B95"/>
    <w:rsid w:val="00844303"/>
    <w:rsid w:val="00847554"/>
    <w:rsid w:val="008521D1"/>
    <w:rsid w:val="00893DD1"/>
    <w:rsid w:val="008A6F7B"/>
    <w:rsid w:val="008D0672"/>
    <w:rsid w:val="008D356D"/>
    <w:rsid w:val="00900E18"/>
    <w:rsid w:val="00914B84"/>
    <w:rsid w:val="0091696B"/>
    <w:rsid w:val="0094554C"/>
    <w:rsid w:val="00960093"/>
    <w:rsid w:val="00972D2B"/>
    <w:rsid w:val="009763F9"/>
    <w:rsid w:val="009C5373"/>
    <w:rsid w:val="009D7CCA"/>
    <w:rsid w:val="009F3A4B"/>
    <w:rsid w:val="00A00F32"/>
    <w:rsid w:val="00A311D1"/>
    <w:rsid w:val="00A507D1"/>
    <w:rsid w:val="00A856E3"/>
    <w:rsid w:val="00AC2575"/>
    <w:rsid w:val="00AF4182"/>
    <w:rsid w:val="00B02D14"/>
    <w:rsid w:val="00B15DF0"/>
    <w:rsid w:val="00B57B11"/>
    <w:rsid w:val="00B61626"/>
    <w:rsid w:val="00B730BD"/>
    <w:rsid w:val="00B931FE"/>
    <w:rsid w:val="00BA2598"/>
    <w:rsid w:val="00BC67FB"/>
    <w:rsid w:val="00BF071F"/>
    <w:rsid w:val="00BF43E9"/>
    <w:rsid w:val="00C24A08"/>
    <w:rsid w:val="00C25F85"/>
    <w:rsid w:val="00C26846"/>
    <w:rsid w:val="00C72571"/>
    <w:rsid w:val="00C8334A"/>
    <w:rsid w:val="00C9170E"/>
    <w:rsid w:val="00C93C63"/>
    <w:rsid w:val="00CA1F54"/>
    <w:rsid w:val="00CA5222"/>
    <w:rsid w:val="00CB7642"/>
    <w:rsid w:val="00CD07A6"/>
    <w:rsid w:val="00CF22B4"/>
    <w:rsid w:val="00D04E80"/>
    <w:rsid w:val="00D20485"/>
    <w:rsid w:val="00D326FB"/>
    <w:rsid w:val="00D5210D"/>
    <w:rsid w:val="00D65404"/>
    <w:rsid w:val="00D661ED"/>
    <w:rsid w:val="00D74073"/>
    <w:rsid w:val="00D82DC5"/>
    <w:rsid w:val="00D930A1"/>
    <w:rsid w:val="00D94DEE"/>
    <w:rsid w:val="00DA308E"/>
    <w:rsid w:val="00DA7BF3"/>
    <w:rsid w:val="00DC7946"/>
    <w:rsid w:val="00E14C4B"/>
    <w:rsid w:val="00E45C30"/>
    <w:rsid w:val="00E946E7"/>
    <w:rsid w:val="00EA696A"/>
    <w:rsid w:val="00EC032B"/>
    <w:rsid w:val="00F06A95"/>
    <w:rsid w:val="00F1136C"/>
    <w:rsid w:val="00F11FA8"/>
    <w:rsid w:val="00F1317E"/>
    <w:rsid w:val="00F24792"/>
    <w:rsid w:val="00F32275"/>
    <w:rsid w:val="00F43400"/>
    <w:rsid w:val="00F52D1E"/>
    <w:rsid w:val="00F52EF6"/>
    <w:rsid w:val="00F65D0D"/>
    <w:rsid w:val="00F6628C"/>
    <w:rsid w:val="00F73037"/>
    <w:rsid w:val="00F75EBA"/>
    <w:rsid w:val="00F912D1"/>
    <w:rsid w:val="00FB0ED0"/>
    <w:rsid w:val="00FE08C1"/>
    <w:rsid w:val="00FE5A21"/>
    <w:rsid w:val="00FE79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BF3"/>
  </w:style>
  <w:style w:type="paragraph" w:styleId="Heading1">
    <w:name w:val="heading 1"/>
    <w:basedOn w:val="Normal"/>
    <w:link w:val="Heading1Char"/>
    <w:uiPriority w:val="9"/>
    <w:qFormat/>
    <w:rsid w:val="005837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3C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D1"/>
  </w:style>
  <w:style w:type="paragraph" w:styleId="Footer">
    <w:name w:val="footer"/>
    <w:basedOn w:val="Normal"/>
    <w:link w:val="FooterChar"/>
    <w:uiPriority w:val="99"/>
    <w:unhideWhenUsed/>
    <w:rsid w:val="00A31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D1"/>
  </w:style>
  <w:style w:type="paragraph" w:styleId="BalloonText">
    <w:name w:val="Balloon Text"/>
    <w:basedOn w:val="Normal"/>
    <w:link w:val="BalloonTextChar"/>
    <w:uiPriority w:val="99"/>
    <w:semiHidden/>
    <w:unhideWhenUsed/>
    <w:rsid w:val="00A31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1D1"/>
    <w:rPr>
      <w:rFonts w:ascii="Tahoma" w:hAnsi="Tahoma" w:cs="Tahoma"/>
      <w:sz w:val="16"/>
      <w:szCs w:val="16"/>
    </w:rPr>
  </w:style>
  <w:style w:type="character" w:customStyle="1" w:styleId="Heading1Char">
    <w:name w:val="Heading 1 Char"/>
    <w:basedOn w:val="DefaultParagraphFont"/>
    <w:link w:val="Heading1"/>
    <w:uiPriority w:val="9"/>
    <w:rsid w:val="0058371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E42C1"/>
    <w:rPr>
      <w:color w:val="0000FF"/>
      <w:u w:val="single"/>
    </w:rPr>
  </w:style>
  <w:style w:type="character" w:customStyle="1" w:styleId="Heading2Char">
    <w:name w:val="Heading 2 Char"/>
    <w:basedOn w:val="DefaultParagraphFont"/>
    <w:link w:val="Heading2"/>
    <w:uiPriority w:val="9"/>
    <w:semiHidden/>
    <w:rsid w:val="00C93C6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2019-03-25T16:40:00Z</dcterms:created>
  <dcterms:modified xsi:type="dcterms:W3CDTF">2019-03-25T16:41:00Z</dcterms:modified>
</cp:coreProperties>
</file>